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方正小标宋简体" w:eastAsia="方正小标宋简体" w:cs="方正小标宋简体"/>
          <w:color w:val="000000"/>
          <w:sz w:val="44"/>
          <w:szCs w:val="44"/>
        </w:rPr>
      </w:pPr>
      <w:bookmarkStart w:id="0" w:name="_GoBack"/>
      <w:bookmarkEnd w:id="0"/>
      <w:r>
        <w:rPr>
          <w:rFonts w:hint="default" w:ascii="方正小标宋简体" w:hAnsi="方正小标宋简体" w:eastAsia="方正小标宋简体" w:cs="方正小标宋简体"/>
          <w:color w:val="000000"/>
          <w:sz w:val="44"/>
          <w:szCs w:val="44"/>
          <w:lang w:eastAsia="zh-CN"/>
        </w:rPr>
        <w:t>2023年</w:t>
      </w:r>
      <w:r>
        <w:rPr>
          <w:rFonts w:hint="eastAsia" w:ascii="方正小标宋简体" w:hAnsi="方正小标宋简体" w:eastAsia="方正小标宋简体" w:cs="方正小标宋简体"/>
          <w:color w:val="000000"/>
          <w:sz w:val="44"/>
          <w:szCs w:val="44"/>
          <w:lang w:eastAsia="zh-CN"/>
        </w:rPr>
        <w:t>郑州市</w:t>
      </w:r>
      <w:r>
        <w:rPr>
          <w:rFonts w:hint="eastAsia" w:ascii="方正小标宋简体" w:hAnsi="方正小标宋简体" w:eastAsia="方正小标宋简体" w:cs="方正小标宋简体"/>
          <w:color w:val="000000"/>
          <w:sz w:val="44"/>
          <w:szCs w:val="44"/>
        </w:rPr>
        <w:t>尿素水溶液产品质量监督抽查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宋体" w:eastAsia="仿宋_GB2312"/>
          <w:sz w:val="32"/>
          <w:szCs w:val="32"/>
        </w:rPr>
      </w:pPr>
      <w:r>
        <w:rPr>
          <w:rFonts w:hint="eastAsia" w:ascii="仿宋_GB2312" w:hAnsi="方正仿宋_GBK" w:eastAsia="仿宋_GB2312" w:cs="方正仿宋_GBK"/>
          <w:sz w:val="32"/>
          <w:szCs w:val="32"/>
        </w:rPr>
        <w:t>本细则适用郑州市市场监督管理局组织的车用尿素水溶液（柴油发动机氮氧化物还原剂</w:t>
      </w:r>
      <w:r>
        <w:rPr>
          <w:rFonts w:ascii="仿宋_GB2312" w:hAnsi="方正仿宋_GBK" w:eastAsia="仿宋_GB2312" w:cs="方正仿宋_GBK"/>
          <w:sz w:val="32"/>
          <w:szCs w:val="32"/>
        </w:rPr>
        <w:t xml:space="preserve"> 尿素水溶液（AUS32）</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snapToGrid w:val="0"/>
        <w:spacing w:beforeLines="50" w:line="560" w:lineRule="exact"/>
        <w:ind w:firstLine="628" w:firstLineChars="200"/>
        <w:rPr>
          <w:rFonts w:ascii="黑体" w:hAnsi="黑体" w:eastAsia="黑体" w:cs="黑体"/>
          <w:color w:val="000000"/>
          <w:sz w:val="32"/>
          <w:szCs w:val="32"/>
        </w:rPr>
      </w:pPr>
      <w:r>
        <w:rPr>
          <w:rFonts w:ascii="黑体" w:hAnsi="黑体" w:eastAsia="黑体" w:cs="黑体"/>
          <w:color w:val="000000"/>
          <w:sz w:val="32"/>
          <w:szCs w:val="32"/>
        </w:rPr>
        <w:t>1.</w:t>
      </w:r>
      <w:r>
        <w:rPr>
          <w:rFonts w:hint="eastAsia" w:ascii="黑体" w:hAnsi="黑体" w:eastAsia="黑体" w:cs="黑体"/>
          <w:color w:val="000000"/>
          <w:sz w:val="32"/>
          <w:szCs w:val="32"/>
        </w:rPr>
        <w:t>抽样方法</w:t>
      </w:r>
    </w:p>
    <w:p>
      <w:pPr>
        <w:snapToGrid w:val="0"/>
        <w:spacing w:line="560" w:lineRule="exact"/>
        <w:ind w:firstLine="628"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w:t>
      </w:r>
      <w:r>
        <w:rPr>
          <w:rFonts w:ascii="Times New Roman" w:hAnsi="Times New Roman" w:eastAsia="仿宋_GB2312" w:cs="Times New Roman"/>
          <w:color w:val="000000"/>
          <w:spacing w:val="-6"/>
          <w:sz w:val="32"/>
          <w:szCs w:val="32"/>
        </w:rPr>
        <w:t>随机抽样的方式在被抽样生产者、销售者的待销产品中抽取。</w:t>
      </w:r>
    </w:p>
    <w:p>
      <w:pPr>
        <w:snapToGrid w:val="0"/>
        <w:spacing w:line="560" w:lineRule="exact"/>
        <w:ind w:firstLine="628"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beforeLines="50"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表1 样品抽取数量</w:t>
      </w:r>
    </w:p>
    <w:tbl>
      <w:tblPr>
        <w:tblStyle w:val="7"/>
        <w:tblW w:w="89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35"/>
        <w:gridCol w:w="3210"/>
        <w:gridCol w:w="175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blHeader/>
        </w:trPr>
        <w:tc>
          <w:tcPr>
            <w:tcW w:w="707"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635"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产品品种</w:t>
            </w:r>
          </w:p>
        </w:tc>
        <w:tc>
          <w:tcPr>
            <w:tcW w:w="3210"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抽样数量</w:t>
            </w:r>
          </w:p>
        </w:tc>
        <w:tc>
          <w:tcPr>
            <w:tcW w:w="1755"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检验样品数量</w:t>
            </w:r>
          </w:p>
        </w:tc>
        <w:tc>
          <w:tcPr>
            <w:tcW w:w="1635"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07" w:type="dxa"/>
            <w:vAlign w:val="center"/>
          </w:tcPr>
          <w:p>
            <w:pPr>
              <w:adjustRightInd w:val="0"/>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35"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尿素水溶液</w:t>
            </w:r>
          </w:p>
        </w:tc>
        <w:tc>
          <w:tcPr>
            <w:tcW w:w="3210"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不少于2L独立包装样品2份</w:t>
            </w:r>
          </w:p>
        </w:tc>
        <w:tc>
          <w:tcPr>
            <w:tcW w:w="1755"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35" w:type="dxa"/>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r>
    </w:tbl>
    <w:p>
      <w:pPr>
        <w:snapToGrid w:val="0"/>
        <w:spacing w:beforeLines="50" w:line="560" w:lineRule="exact"/>
        <w:ind w:firstLine="628" w:firstLineChars="200"/>
        <w:rPr>
          <w:rFonts w:ascii="黑体" w:hAnsi="黑体" w:eastAsia="黑体" w:cs="黑体"/>
          <w:color w:val="000000"/>
          <w:sz w:val="32"/>
          <w:szCs w:val="32"/>
        </w:rPr>
      </w:pPr>
      <w:r>
        <w:rPr>
          <w:rFonts w:ascii="黑体" w:hAnsi="黑体" w:eastAsia="黑体" w:cs="黑体"/>
          <w:color w:val="000000"/>
          <w:sz w:val="32"/>
          <w:szCs w:val="32"/>
        </w:rPr>
        <w:t>2.</w:t>
      </w:r>
      <w:r>
        <w:rPr>
          <w:rFonts w:hint="eastAsia" w:ascii="黑体" w:hAnsi="黑体" w:eastAsia="黑体" w:cs="黑体"/>
          <w:color w:val="000000"/>
          <w:sz w:val="32"/>
          <w:szCs w:val="32"/>
        </w:rPr>
        <w:t>检验依据</w:t>
      </w:r>
    </w:p>
    <w:p>
      <w:pPr>
        <w:adjustRightInd w:val="0"/>
        <w:snapToGrid w:val="0"/>
        <w:spacing w:beforeLines="50"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Times New Roman"/>
          <w:b/>
          <w:color w:val="000000" w:themeColor="text1"/>
          <w:sz w:val="32"/>
          <w:szCs w:val="32"/>
          <w14:textFill>
            <w14:solidFill>
              <w14:schemeClr w14:val="tx1"/>
            </w14:solidFill>
          </w14:textFill>
        </w:rPr>
        <w:t>表2 尿素水溶液</w:t>
      </w:r>
    </w:p>
    <w:tbl>
      <w:tblPr>
        <w:tblStyle w:val="7"/>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04"/>
        <w:gridCol w:w="3526"/>
        <w:gridCol w:w="3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blHeader/>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2527" w:type="pct"/>
            <w:gridSpan w:val="2"/>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检验项目</w:t>
            </w:r>
          </w:p>
        </w:tc>
        <w:tc>
          <w:tcPr>
            <w:tcW w:w="2009"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527" w:type="pct"/>
            <w:gridSpan w:val="2"/>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尿素含量（质量分数）</w:t>
            </w:r>
          </w:p>
        </w:tc>
        <w:tc>
          <w:tcPr>
            <w:tcW w:w="2009"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29518-2013附录A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527" w:type="pct"/>
            <w:gridSpan w:val="2"/>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密度（20℃）</w:t>
            </w:r>
          </w:p>
        </w:tc>
        <w:tc>
          <w:tcPr>
            <w:tcW w:w="2009"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SH/T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0604-2000</w:t>
            </w: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1884-2000</w:t>
            </w: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1885-1998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 w:type="pct"/>
            <w:vAlign w:val="center"/>
          </w:tcPr>
          <w:p>
            <w:pPr>
              <w:jc w:val="center"/>
              <w:rPr>
                <w:rFonts w:ascii="仿宋_GB2312" w:hAnsi="Times New Roman" w:eastAsia="仿宋_GB2312"/>
                <w:color w:val="000000"/>
                <w:sz w:val="24"/>
                <w:szCs w:val="32"/>
              </w:rPr>
            </w:pPr>
            <w:r>
              <w:rPr>
                <w:rFonts w:hint="eastAsia" w:ascii="仿宋_GB2312" w:hAnsi="Times New Roman" w:eastAsia="仿宋_GB2312"/>
                <w:color w:val="000000"/>
                <w:sz w:val="24"/>
                <w:szCs w:val="32"/>
              </w:rPr>
              <w:t>3</w:t>
            </w:r>
          </w:p>
        </w:tc>
        <w:tc>
          <w:tcPr>
            <w:tcW w:w="2527" w:type="pct"/>
            <w:gridSpan w:val="2"/>
            <w:vAlign w:val="center"/>
          </w:tcPr>
          <w:p>
            <w:pPr>
              <w:snapToGrid w:val="0"/>
              <w:jc w:val="center"/>
              <w:rPr>
                <w:rFonts w:ascii="Times New Roman" w:hAnsi="Times New Roman" w:eastAsia="仿宋_GB2312" w:cs="Times New Roman"/>
                <w:color w:val="000000"/>
                <w:sz w:val="24"/>
                <w:szCs w:val="24"/>
              </w:rPr>
            </w:pPr>
            <w:r>
              <w:rPr>
                <w:rFonts w:hint="eastAsia" w:ascii="仿宋_GB2312" w:hAnsi="Times New Roman" w:eastAsia="仿宋_GB2312"/>
                <w:color w:val="000000"/>
                <w:sz w:val="24"/>
                <w:szCs w:val="32"/>
              </w:rPr>
              <w:t>折光率</w:t>
            </w:r>
            <w:r>
              <w:rPr>
                <w:kern w:val="0"/>
                <w:szCs w:val="21"/>
                <w:vertAlign w:val="superscript"/>
              </w:rPr>
              <w:t>20</w:t>
            </w:r>
            <w:r>
              <w:rPr>
                <w:kern w:val="0"/>
                <w:szCs w:val="21"/>
              </w:rPr>
              <w:t>n</w:t>
            </w:r>
            <w:r>
              <w:rPr>
                <w:kern w:val="0"/>
                <w:szCs w:val="21"/>
                <w:vertAlign w:val="subscript"/>
              </w:rPr>
              <w:t>D</w:t>
            </w:r>
          </w:p>
        </w:tc>
        <w:tc>
          <w:tcPr>
            <w:tcW w:w="2009"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614-2006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560" w:type="pct"/>
            <w:vMerge w:val="restar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杂</w:t>
            </w: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w:t>
            </w: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含</w:t>
            </w: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量</w:t>
            </w:r>
          </w:p>
        </w:tc>
        <w:tc>
          <w:tcPr>
            <w:tcW w:w="1966"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碱度（以NH</w:t>
            </w:r>
            <w:r>
              <w:rPr>
                <w:rFonts w:hint="eastAsia" w:ascii="仿宋_GB2312" w:hAnsi="仿宋_GB2312" w:eastAsia="仿宋_GB2312" w:cs="仿宋_GB2312"/>
                <w:color w:val="000000"/>
                <w:sz w:val="24"/>
                <w:szCs w:val="24"/>
                <w:vertAlign w:val="subscript"/>
              </w:rPr>
              <w:t>3</w:t>
            </w:r>
            <w:r>
              <w:rPr>
                <w:rFonts w:hint="eastAsia" w:ascii="仿宋_GB2312" w:hAnsi="仿宋_GB2312" w:eastAsia="仿宋_GB2312" w:cs="仿宋_GB2312"/>
                <w:color w:val="000000"/>
                <w:sz w:val="24"/>
                <w:szCs w:val="24"/>
              </w:rPr>
              <w:t>计）（质量分数）</w:t>
            </w:r>
          </w:p>
        </w:tc>
        <w:tc>
          <w:tcPr>
            <w:tcW w:w="2009"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29518-2013附录B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560" w:type="pct"/>
            <w:vMerge w:val="continue"/>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tc>
        <w:tc>
          <w:tcPr>
            <w:tcW w:w="1966"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缩二脲（质量分数）</w:t>
            </w:r>
          </w:p>
        </w:tc>
        <w:tc>
          <w:tcPr>
            <w:tcW w:w="2009"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29518-2013附录C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560" w:type="pct"/>
            <w:vMerge w:val="continue"/>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tc>
        <w:tc>
          <w:tcPr>
            <w:tcW w:w="1966"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醛类（以HCHO计）</w:t>
            </w:r>
          </w:p>
        </w:tc>
        <w:tc>
          <w:tcPr>
            <w:tcW w:w="2009" w:type="pct"/>
            <w:vAlign w:val="center"/>
          </w:tcPr>
          <w:p>
            <w:pPr>
              <w:snapToGrid w:val="0"/>
              <w:jc w:val="center"/>
              <w:rPr>
                <w:rFonts w:ascii="仿宋_GB2312" w:hAnsi="Times New Roman" w:eastAsia="仿宋_GB2312"/>
                <w:color w:val="000000"/>
                <w:sz w:val="24"/>
                <w:szCs w:val="32"/>
              </w:rPr>
            </w:pPr>
            <w:r>
              <w:rPr>
                <w:rFonts w:hint="eastAsia" w:ascii="仿宋_GB2312" w:hAnsi="Times New Roman" w:eastAsia="仿宋_GB2312"/>
                <w:color w:val="000000"/>
                <w:sz w:val="24"/>
                <w:szCs w:val="32"/>
              </w:rPr>
              <w:t>GB</w:t>
            </w:r>
            <w:r>
              <w:rPr>
                <w:rFonts w:hint="eastAsia" w:ascii="仿宋_GB2312" w:hAnsi="Times New Roman" w:eastAsia="仿宋_GB2312"/>
                <w:color w:val="000000"/>
                <w:sz w:val="24"/>
                <w:szCs w:val="32"/>
                <w:lang w:val="en-US" w:eastAsia="zh-CN"/>
              </w:rPr>
              <w:t xml:space="preserve"> </w:t>
            </w:r>
            <w:r>
              <w:rPr>
                <w:rFonts w:hint="eastAsia" w:ascii="仿宋_GB2312" w:hAnsi="Times New Roman" w:eastAsia="仿宋_GB2312"/>
                <w:color w:val="000000"/>
                <w:sz w:val="24"/>
                <w:szCs w:val="32"/>
              </w:rPr>
              <w:t>29518-2013附录D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560" w:type="pct"/>
            <w:vMerge w:val="continue"/>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tc>
        <w:tc>
          <w:tcPr>
            <w:tcW w:w="1966"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不溶物</w:t>
            </w:r>
          </w:p>
        </w:tc>
        <w:tc>
          <w:tcPr>
            <w:tcW w:w="2009" w:type="pct"/>
            <w:vAlign w:val="center"/>
          </w:tcPr>
          <w:p>
            <w:pPr>
              <w:snapToGrid w:val="0"/>
              <w:jc w:val="center"/>
              <w:rPr>
                <w:rFonts w:ascii="仿宋_GB2312" w:hAnsi="Times New Roman" w:eastAsia="仿宋_GB2312"/>
                <w:color w:val="000000"/>
                <w:sz w:val="24"/>
                <w:szCs w:val="32"/>
              </w:rPr>
            </w:pPr>
            <w:r>
              <w:rPr>
                <w:rFonts w:hint="eastAsia" w:ascii="仿宋_GB2312" w:hAnsi="Times New Roman" w:eastAsia="仿宋_GB2312"/>
                <w:color w:val="000000"/>
                <w:sz w:val="24"/>
                <w:szCs w:val="32"/>
              </w:rPr>
              <w:t>GB</w:t>
            </w:r>
            <w:r>
              <w:rPr>
                <w:rFonts w:hint="eastAsia" w:ascii="仿宋_GB2312" w:hAnsi="Times New Roman" w:eastAsia="仿宋_GB2312"/>
                <w:color w:val="000000"/>
                <w:sz w:val="24"/>
                <w:szCs w:val="32"/>
                <w:lang w:val="en-US" w:eastAsia="zh-CN"/>
              </w:rPr>
              <w:t xml:space="preserve"> </w:t>
            </w:r>
            <w:r>
              <w:rPr>
                <w:rFonts w:hint="eastAsia" w:ascii="仿宋_GB2312" w:hAnsi="Times New Roman" w:eastAsia="仿宋_GB2312"/>
                <w:color w:val="000000"/>
                <w:sz w:val="24"/>
                <w:szCs w:val="32"/>
              </w:rPr>
              <w:t>29518-2013附录E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463"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560" w:type="pct"/>
            <w:vMerge w:val="continue"/>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p>
        </w:tc>
        <w:tc>
          <w:tcPr>
            <w:tcW w:w="1966" w:type="pct"/>
            <w:vAlign w:val="center"/>
          </w:tcPr>
          <w:p>
            <w:pPr>
              <w:adjustRightInd w:val="0"/>
              <w:snapToGrid w:val="0"/>
              <w:spacing w:before="60" w:after="60"/>
              <w:ind w:left="-102" w:leftChars="-50" w:right="-102" w:rightChars="-5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磷酸盐（以PO</w:t>
            </w:r>
            <w:r>
              <w:rPr>
                <w:rFonts w:hint="eastAsia" w:ascii="仿宋_GB2312" w:hAnsi="仿宋_GB2312" w:eastAsia="仿宋_GB2312" w:cs="仿宋_GB2312"/>
                <w:color w:val="000000"/>
                <w:sz w:val="24"/>
                <w:szCs w:val="24"/>
                <w:vertAlign w:val="subscript"/>
              </w:rPr>
              <w:t>4</w:t>
            </w:r>
            <w:r>
              <w:rPr>
                <w:rFonts w:hint="eastAsia" w:ascii="仿宋_GB2312" w:hAnsi="仿宋_GB2312" w:eastAsia="仿宋_GB2312" w:cs="仿宋_GB2312"/>
                <w:color w:val="000000"/>
                <w:sz w:val="24"/>
                <w:szCs w:val="24"/>
              </w:rPr>
              <w:t>计）</w:t>
            </w:r>
          </w:p>
        </w:tc>
        <w:tc>
          <w:tcPr>
            <w:tcW w:w="2009" w:type="pct"/>
            <w:vAlign w:val="center"/>
          </w:tcPr>
          <w:p>
            <w:pPr>
              <w:snapToGrid w:val="0"/>
              <w:jc w:val="center"/>
              <w:rPr>
                <w:rFonts w:ascii="仿宋_GB2312" w:hAnsi="Times New Roman" w:eastAsia="仿宋_GB2312"/>
                <w:color w:val="000000"/>
                <w:sz w:val="24"/>
                <w:szCs w:val="32"/>
              </w:rPr>
            </w:pPr>
            <w:r>
              <w:rPr>
                <w:rFonts w:hint="eastAsia" w:ascii="仿宋_GB2312" w:hAnsi="Times New Roman" w:eastAsia="仿宋_GB2312"/>
                <w:color w:val="000000"/>
                <w:sz w:val="24"/>
                <w:szCs w:val="32"/>
              </w:rPr>
              <w:t>GB</w:t>
            </w:r>
            <w:r>
              <w:rPr>
                <w:rFonts w:hint="eastAsia" w:ascii="仿宋_GB2312" w:hAnsi="Times New Roman" w:eastAsia="仿宋_GB2312"/>
                <w:color w:val="000000"/>
                <w:sz w:val="24"/>
                <w:szCs w:val="32"/>
                <w:lang w:val="en-US" w:eastAsia="zh-CN"/>
              </w:rPr>
              <w:t xml:space="preserve"> </w:t>
            </w:r>
            <w:r>
              <w:rPr>
                <w:rFonts w:hint="eastAsia" w:ascii="仿宋_GB2312" w:hAnsi="Times New Roman" w:eastAsia="仿宋_GB2312"/>
                <w:color w:val="000000"/>
                <w:sz w:val="24"/>
                <w:szCs w:val="32"/>
              </w:rPr>
              <w:t>29518-2013附录F</w:t>
            </w:r>
          </w:p>
        </w:tc>
      </w:tr>
    </w:tbl>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执行企业标准、团体标准、地方标准的产品，检验项目参照上述内容执行。</w:t>
      </w:r>
    </w:p>
    <w:p>
      <w:pPr>
        <w:snapToGrid w:val="0"/>
        <w:spacing w:line="560" w:lineRule="exact"/>
        <w:ind w:firstLine="625"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spacing w:beforeLines="50" w:line="560" w:lineRule="exact"/>
        <w:ind w:firstLine="628" w:firstLineChars="200"/>
        <w:rPr>
          <w:rFonts w:ascii="黑体" w:hAnsi="黑体" w:eastAsia="黑体" w:cs="黑体"/>
          <w:color w:val="000000"/>
          <w:sz w:val="32"/>
          <w:szCs w:val="32"/>
        </w:rPr>
      </w:pPr>
      <w:r>
        <w:rPr>
          <w:rFonts w:ascii="黑体" w:hAnsi="黑体" w:eastAsia="黑体" w:cs="黑体"/>
          <w:color w:val="000000"/>
          <w:sz w:val="32"/>
          <w:szCs w:val="32"/>
        </w:rPr>
        <w:t>3.</w:t>
      </w:r>
      <w:r>
        <w:rPr>
          <w:rFonts w:hint="eastAsia" w:ascii="黑体" w:hAnsi="黑体" w:eastAsia="黑体" w:cs="黑体"/>
          <w:color w:val="000000"/>
          <w:sz w:val="32"/>
          <w:szCs w:val="32"/>
        </w:rPr>
        <w:t>判定规则</w:t>
      </w:r>
    </w:p>
    <w:p>
      <w:pPr>
        <w:snapToGrid w:val="0"/>
        <w:spacing w:line="560" w:lineRule="exact"/>
        <w:ind w:firstLine="62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3.1依据标准</w:t>
      </w:r>
    </w:p>
    <w:p>
      <w:pPr>
        <w:snapToGrid w:val="0"/>
        <w:spacing w:line="560" w:lineRule="exact"/>
        <w:ind w:firstLine="628"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29518-2013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柴油发动机氮氧化物还原剂 尿素水溶液（AUS32）</w:t>
      </w:r>
      <w:r>
        <w:rPr>
          <w:rFonts w:hint="eastAsia" w:ascii="仿宋_GB2312" w:hAnsi="仿宋_GB2312" w:eastAsia="仿宋_GB2312" w:cs="仿宋_GB2312"/>
          <w:color w:val="000000"/>
          <w:sz w:val="32"/>
          <w:szCs w:val="32"/>
          <w:lang w:eastAsia="zh-CN"/>
        </w:rPr>
        <w:t>》</w:t>
      </w:r>
    </w:p>
    <w:p>
      <w:pPr>
        <w:snapToGrid w:val="0"/>
        <w:spacing w:line="560" w:lineRule="exact"/>
        <w:ind w:firstLine="628"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snapToGrid w:val="0"/>
        <w:spacing w:line="560" w:lineRule="exact"/>
        <w:ind w:firstLine="628"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3.2判定原则</w:t>
      </w:r>
    </w:p>
    <w:p>
      <w:pPr>
        <w:snapToGrid w:val="0"/>
        <w:spacing w:line="560" w:lineRule="exact"/>
        <w:ind w:firstLine="628"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经检验，检验项目全部合格，判定为被抽查产品合格；检验项目中任一项或一项以上不合格，判定为被抽查产品不合格。</w:t>
      </w:r>
    </w:p>
    <w:p>
      <w:pPr>
        <w:snapToGrid w:val="0"/>
        <w:spacing w:line="560" w:lineRule="exact"/>
        <w:ind w:firstLine="625"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若被检产品明示的质量要求高于本细则中检验项目依据的标准要求时，应按被检产品明示的质量要求判定。</w:t>
      </w:r>
    </w:p>
    <w:p>
      <w:pPr>
        <w:snapToGrid w:val="0"/>
        <w:spacing w:line="560" w:lineRule="exact"/>
        <w:ind w:firstLine="625"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若被检产品明示的质量要求低于本细则中检验项目依据的强制性标准要求时，应按照强制性标准要求判定。</w:t>
      </w:r>
    </w:p>
    <w:p>
      <w:pPr>
        <w:snapToGrid w:val="0"/>
        <w:spacing w:line="560" w:lineRule="exact"/>
        <w:ind w:firstLine="625"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snapToGrid w:val="0"/>
        <w:spacing w:line="560" w:lineRule="exact"/>
        <w:ind w:firstLine="625"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60" w:lineRule="exact"/>
        <w:ind w:firstLine="625"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若被检产品明示的质量要求缺少本细则中检验项目依据的推荐性标准要求时，该项目不参与判定。</w:t>
      </w:r>
    </w:p>
    <w:sectPr>
      <w:footerReference r:id="rId3" w:type="default"/>
      <w:pgSz w:w="11906" w:h="16838"/>
      <w:pgMar w:top="1984" w:right="1474" w:bottom="1361" w:left="1474" w:header="851" w:footer="1361" w:gutter="0"/>
      <w:pgNumType w:fmt="decimal"/>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宋体" w:hAnsi="宋体" w:eastAsia="宋体" w:cs="宋体"/>
                              <w:sz w:val="28"/>
                              <w:szCs w:val="28"/>
                            </w:rPr>
                            <w:id w:val="-1261989823"/>
                          </w:sdtPr>
                          <w:sdtEndPr>
                            <w:rPr>
                              <w:rFonts w:hint="eastAsia" w:ascii="宋体" w:hAnsi="宋体" w:eastAsia="宋体" w:cs="宋体"/>
                              <w:sz w:val="28"/>
                              <w:szCs w:val="28"/>
                            </w:rPr>
                          </w:sdtEndPr>
                          <w:sdtContent>
                            <w:p>
                              <w:pPr>
                                <w:pStyle w:val="3"/>
                                <w:ind w:left="315" w:leftChars="150" w:right="315" w:rightChars="15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p>
                          <w:pPr>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261989823"/>
                    </w:sdtPr>
                    <w:sdtEndPr>
                      <w:rPr>
                        <w:rFonts w:hint="eastAsia" w:ascii="宋体" w:hAnsi="宋体" w:eastAsia="宋体" w:cs="宋体"/>
                        <w:sz w:val="28"/>
                        <w:szCs w:val="28"/>
                      </w:rPr>
                    </w:sdtEndPr>
                    <w:sdtContent>
                      <w:p>
                        <w:pPr>
                          <w:pStyle w:val="3"/>
                          <w:ind w:left="315" w:leftChars="150" w:right="315" w:rightChars="15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p>
                    <w:pPr>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2"/>
  <w:drawingGridVerticalSpacing w:val="149"/>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OGVhNzUzYWE3ZjM0MzRjZmE4ZTVlMzBkNzZjMzQifQ=="/>
  </w:docVars>
  <w:rsids>
    <w:rsidRoot w:val="002720F8"/>
    <w:rsid w:val="000049CE"/>
    <w:rsid w:val="00013890"/>
    <w:rsid w:val="000232F9"/>
    <w:rsid w:val="0004524E"/>
    <w:rsid w:val="000500E0"/>
    <w:rsid w:val="000731C9"/>
    <w:rsid w:val="00075F4C"/>
    <w:rsid w:val="0009708F"/>
    <w:rsid w:val="000A67A7"/>
    <w:rsid w:val="000C5CBE"/>
    <w:rsid w:val="000E21AE"/>
    <w:rsid w:val="000E741B"/>
    <w:rsid w:val="00110586"/>
    <w:rsid w:val="00111EBD"/>
    <w:rsid w:val="00125353"/>
    <w:rsid w:val="00174C75"/>
    <w:rsid w:val="001850A2"/>
    <w:rsid w:val="001C2564"/>
    <w:rsid w:val="001D4E92"/>
    <w:rsid w:val="001E0F6D"/>
    <w:rsid w:val="001E79D2"/>
    <w:rsid w:val="00200DE6"/>
    <w:rsid w:val="002039FE"/>
    <w:rsid w:val="00206D31"/>
    <w:rsid w:val="00224E34"/>
    <w:rsid w:val="0023233E"/>
    <w:rsid w:val="002455DC"/>
    <w:rsid w:val="002666AB"/>
    <w:rsid w:val="00266EA3"/>
    <w:rsid w:val="00271EB5"/>
    <w:rsid w:val="002720F8"/>
    <w:rsid w:val="002A3AAD"/>
    <w:rsid w:val="002B21AB"/>
    <w:rsid w:val="002C7FF9"/>
    <w:rsid w:val="002D31C1"/>
    <w:rsid w:val="002E3C81"/>
    <w:rsid w:val="0032196E"/>
    <w:rsid w:val="003334B6"/>
    <w:rsid w:val="00333D9B"/>
    <w:rsid w:val="00366169"/>
    <w:rsid w:val="00371DAD"/>
    <w:rsid w:val="003A1AFF"/>
    <w:rsid w:val="003C52B9"/>
    <w:rsid w:val="003D605A"/>
    <w:rsid w:val="00405F99"/>
    <w:rsid w:val="0041111B"/>
    <w:rsid w:val="004148E2"/>
    <w:rsid w:val="00432EB7"/>
    <w:rsid w:val="004356B1"/>
    <w:rsid w:val="00442AF4"/>
    <w:rsid w:val="00460019"/>
    <w:rsid w:val="00466DFC"/>
    <w:rsid w:val="00492560"/>
    <w:rsid w:val="00493CF3"/>
    <w:rsid w:val="004B2648"/>
    <w:rsid w:val="004B43A2"/>
    <w:rsid w:val="004B7761"/>
    <w:rsid w:val="004E70B3"/>
    <w:rsid w:val="004E7BBF"/>
    <w:rsid w:val="00514D35"/>
    <w:rsid w:val="00546417"/>
    <w:rsid w:val="00563F32"/>
    <w:rsid w:val="00580BA8"/>
    <w:rsid w:val="00581201"/>
    <w:rsid w:val="005951ED"/>
    <w:rsid w:val="005D636A"/>
    <w:rsid w:val="005E2062"/>
    <w:rsid w:val="005F6F84"/>
    <w:rsid w:val="00602393"/>
    <w:rsid w:val="006049ED"/>
    <w:rsid w:val="00611970"/>
    <w:rsid w:val="00626EBF"/>
    <w:rsid w:val="00645A0E"/>
    <w:rsid w:val="00646D0C"/>
    <w:rsid w:val="006529B5"/>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6089"/>
    <w:rsid w:val="0079061D"/>
    <w:rsid w:val="00792EAA"/>
    <w:rsid w:val="00795BCF"/>
    <w:rsid w:val="00795C03"/>
    <w:rsid w:val="007B216C"/>
    <w:rsid w:val="007D1A30"/>
    <w:rsid w:val="007D3664"/>
    <w:rsid w:val="007D548E"/>
    <w:rsid w:val="007E2777"/>
    <w:rsid w:val="007E39FB"/>
    <w:rsid w:val="008479E9"/>
    <w:rsid w:val="0086138B"/>
    <w:rsid w:val="00896DB8"/>
    <w:rsid w:val="008C5CD4"/>
    <w:rsid w:val="008D4A95"/>
    <w:rsid w:val="00903196"/>
    <w:rsid w:val="00924F0B"/>
    <w:rsid w:val="00966F02"/>
    <w:rsid w:val="00992192"/>
    <w:rsid w:val="009941C0"/>
    <w:rsid w:val="009D0B18"/>
    <w:rsid w:val="00A42A73"/>
    <w:rsid w:val="00A53AB1"/>
    <w:rsid w:val="00AA79BD"/>
    <w:rsid w:val="00AD06A8"/>
    <w:rsid w:val="00AF2839"/>
    <w:rsid w:val="00B13F17"/>
    <w:rsid w:val="00B250D4"/>
    <w:rsid w:val="00B30457"/>
    <w:rsid w:val="00B338E2"/>
    <w:rsid w:val="00B720CC"/>
    <w:rsid w:val="00BA52A2"/>
    <w:rsid w:val="00BA6009"/>
    <w:rsid w:val="00C06925"/>
    <w:rsid w:val="00C15475"/>
    <w:rsid w:val="00C30EF2"/>
    <w:rsid w:val="00C34866"/>
    <w:rsid w:val="00C65D36"/>
    <w:rsid w:val="00C802EA"/>
    <w:rsid w:val="00CC0EBF"/>
    <w:rsid w:val="00CE1036"/>
    <w:rsid w:val="00CE723C"/>
    <w:rsid w:val="00CF2F09"/>
    <w:rsid w:val="00D10A00"/>
    <w:rsid w:val="00D20C61"/>
    <w:rsid w:val="00D21ADA"/>
    <w:rsid w:val="00D36E9D"/>
    <w:rsid w:val="00D523B8"/>
    <w:rsid w:val="00D843CC"/>
    <w:rsid w:val="00DC2C32"/>
    <w:rsid w:val="00DD068E"/>
    <w:rsid w:val="00DE6118"/>
    <w:rsid w:val="00DE7E0F"/>
    <w:rsid w:val="00DF1C3D"/>
    <w:rsid w:val="00DF2639"/>
    <w:rsid w:val="00E10A0A"/>
    <w:rsid w:val="00E167CA"/>
    <w:rsid w:val="00E32F4F"/>
    <w:rsid w:val="00E44968"/>
    <w:rsid w:val="00E56919"/>
    <w:rsid w:val="00E73DDF"/>
    <w:rsid w:val="00E81F24"/>
    <w:rsid w:val="00EB737E"/>
    <w:rsid w:val="00EC42EC"/>
    <w:rsid w:val="00EC63B4"/>
    <w:rsid w:val="00EC7CD0"/>
    <w:rsid w:val="00ED7784"/>
    <w:rsid w:val="00EE5575"/>
    <w:rsid w:val="00EF0FF9"/>
    <w:rsid w:val="00F03212"/>
    <w:rsid w:val="00F1388B"/>
    <w:rsid w:val="00F21862"/>
    <w:rsid w:val="00F4297A"/>
    <w:rsid w:val="00F7461A"/>
    <w:rsid w:val="00F77810"/>
    <w:rsid w:val="00F87FA7"/>
    <w:rsid w:val="00F932AA"/>
    <w:rsid w:val="00FA002B"/>
    <w:rsid w:val="00FD2FD0"/>
    <w:rsid w:val="00FE7884"/>
    <w:rsid w:val="00FF3AFD"/>
    <w:rsid w:val="03633CE8"/>
    <w:rsid w:val="04AD267B"/>
    <w:rsid w:val="06A43FD8"/>
    <w:rsid w:val="09B802FA"/>
    <w:rsid w:val="0C090135"/>
    <w:rsid w:val="18600DA4"/>
    <w:rsid w:val="1A700323"/>
    <w:rsid w:val="1A730087"/>
    <w:rsid w:val="1F112D53"/>
    <w:rsid w:val="21AE27D6"/>
    <w:rsid w:val="22B51B96"/>
    <w:rsid w:val="24307F76"/>
    <w:rsid w:val="28322380"/>
    <w:rsid w:val="2AF62AC9"/>
    <w:rsid w:val="2CCF54E4"/>
    <w:rsid w:val="2E191F4D"/>
    <w:rsid w:val="2E5A49E9"/>
    <w:rsid w:val="303C557E"/>
    <w:rsid w:val="31567C67"/>
    <w:rsid w:val="31781EF3"/>
    <w:rsid w:val="32337CF4"/>
    <w:rsid w:val="32670304"/>
    <w:rsid w:val="33515BAE"/>
    <w:rsid w:val="3899266B"/>
    <w:rsid w:val="392C2202"/>
    <w:rsid w:val="3A0850D6"/>
    <w:rsid w:val="3C2D68A1"/>
    <w:rsid w:val="3DE75E16"/>
    <w:rsid w:val="3E1144CF"/>
    <w:rsid w:val="402356EF"/>
    <w:rsid w:val="402925DA"/>
    <w:rsid w:val="404D13CF"/>
    <w:rsid w:val="48C570A4"/>
    <w:rsid w:val="49D8009E"/>
    <w:rsid w:val="4BF210B7"/>
    <w:rsid w:val="4FE85C5D"/>
    <w:rsid w:val="50EB16C5"/>
    <w:rsid w:val="525B487D"/>
    <w:rsid w:val="52C35FEA"/>
    <w:rsid w:val="53226CDE"/>
    <w:rsid w:val="54587C4A"/>
    <w:rsid w:val="55A961F2"/>
    <w:rsid w:val="58D861C1"/>
    <w:rsid w:val="5BED2034"/>
    <w:rsid w:val="5C370E42"/>
    <w:rsid w:val="5C6B2DC6"/>
    <w:rsid w:val="5C8517D2"/>
    <w:rsid w:val="621A3C65"/>
    <w:rsid w:val="62DB05FD"/>
    <w:rsid w:val="62FA12BF"/>
    <w:rsid w:val="63435F73"/>
    <w:rsid w:val="63D51F26"/>
    <w:rsid w:val="64F10CB0"/>
    <w:rsid w:val="66571AF5"/>
    <w:rsid w:val="67DB3077"/>
    <w:rsid w:val="6A7348E4"/>
    <w:rsid w:val="6CCA2781"/>
    <w:rsid w:val="6CE1526E"/>
    <w:rsid w:val="6F372B8E"/>
    <w:rsid w:val="73661AE7"/>
    <w:rsid w:val="744E0AC2"/>
    <w:rsid w:val="753846E7"/>
    <w:rsid w:val="76635DD9"/>
    <w:rsid w:val="78080052"/>
    <w:rsid w:val="789F7665"/>
    <w:rsid w:val="792B62B5"/>
    <w:rsid w:val="79E45269"/>
    <w:rsid w:val="7EBC0E36"/>
    <w:rsid w:val="FBFFE2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4"/>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styleId="11">
    <w:name w:val="Hyperlink"/>
    <w:basedOn w:val="9"/>
    <w:semiHidden/>
    <w:unhideWhenUsed/>
    <w:qFormat/>
    <w:uiPriority w:val="99"/>
    <w:rPr>
      <w:color w:val="0000FF"/>
      <w:u w:val="single"/>
    </w:rPr>
  </w:style>
  <w:style w:type="paragraph" w:styleId="12">
    <w:name w:val="List Paragraph"/>
    <w:basedOn w:val="1"/>
    <w:qFormat/>
    <w:uiPriority w:val="34"/>
    <w:pPr>
      <w:ind w:firstLine="420" w:firstLineChars="200"/>
    </w:pPr>
  </w:style>
  <w:style w:type="paragraph" w:customStyle="1" w:styleId="13">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正文文本缩进 3 Char"/>
    <w:link w:val="5"/>
    <w:qFormat/>
    <w:uiPriority w:val="0"/>
    <w:rPr>
      <w:rFonts w:ascii="仿宋_GB2312" w:eastAsia="仿宋_GB2312"/>
      <w:sz w:val="32"/>
    </w:rPr>
  </w:style>
  <w:style w:type="character" w:customStyle="1" w:styleId="15">
    <w:name w:val="正文文本缩进 3 字符"/>
    <w:basedOn w:val="9"/>
    <w:semiHidden/>
    <w:qFormat/>
    <w:uiPriority w:val="99"/>
    <w:rPr>
      <w:sz w:val="16"/>
      <w:szCs w:val="16"/>
    </w:rPr>
  </w:style>
  <w:style w:type="character" w:customStyle="1" w:styleId="16">
    <w:name w:val="页眉 Char"/>
    <w:basedOn w:val="9"/>
    <w:link w:val="4"/>
    <w:qFormat/>
    <w:uiPriority w:val="99"/>
    <w:rPr>
      <w:sz w:val="18"/>
      <w:szCs w:val="18"/>
    </w:rPr>
  </w:style>
  <w:style w:type="character" w:customStyle="1" w:styleId="17">
    <w:name w:val="页脚 Char"/>
    <w:basedOn w:val="9"/>
    <w:link w:val="3"/>
    <w:qFormat/>
    <w:uiPriority w:val="99"/>
    <w:rPr>
      <w:sz w:val="18"/>
      <w:szCs w:val="18"/>
    </w:rPr>
  </w:style>
  <w:style w:type="character" w:customStyle="1" w:styleId="18">
    <w:name w:val="HTML 预设格式 Char"/>
    <w:basedOn w:val="9"/>
    <w:link w:val="6"/>
    <w:semiHidden/>
    <w:qFormat/>
    <w:uiPriority w:val="99"/>
    <w:rPr>
      <w:rFonts w:ascii="宋体" w:hAnsi="宋体" w:eastAsia="宋体" w:cs="宋体"/>
      <w:kern w:val="0"/>
      <w:sz w:val="24"/>
      <w:szCs w:val="24"/>
    </w:rPr>
  </w:style>
  <w:style w:type="character" w:customStyle="1" w:styleId="19">
    <w:name w:val="批注框文本 Char"/>
    <w:basedOn w:val="9"/>
    <w:link w:val="2"/>
    <w:semiHidden/>
    <w:qFormat/>
    <w:uiPriority w:val="99"/>
    <w:rPr>
      <w:sz w:val="18"/>
      <w:szCs w:val="18"/>
    </w:rPr>
  </w:style>
  <w:style w:type="paragraph" w:customStyle="1" w:styleId="20">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843</Words>
  <Characters>1013</Characters>
  <Lines>8</Lines>
  <Paragraphs>2</Paragraphs>
  <TotalTime>1</TotalTime>
  <ScaleCrop>false</ScaleCrop>
  <LinksUpToDate>false</LinksUpToDate>
  <CharactersWithSpaces>1030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2020-02-01T22:27:00Z</dcterms:created>
  <dc:creator>USER</dc:creator>
  <cp:lastModifiedBy>greatwall</cp:lastModifiedBy>
  <cp:lastPrinted>2021-08-25T10:29:00Z</cp:lastPrinted>
  <dcterms:modified xsi:type="dcterms:W3CDTF">2023-07-11T10:45:55Z</dcterms:modified>
  <dc:title>市场监管总局关于开展口罩产品质量监督专项抽查有关工作的通知</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AF35FD8BAA5A4CE9BE60A9BC0B89204B_13</vt:lpwstr>
  </property>
</Properties>
</file>